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14479" w14:textId="77777777" w:rsidR="005D6D4A" w:rsidRPr="005D6D4A" w:rsidRDefault="005D6D4A" w:rsidP="005D6D4A">
      <w:r w:rsidRPr="005D6D4A">
        <w:rPr>
          <w:b/>
          <w:bCs/>
        </w:rPr>
        <w:t>AMAZONE TopCut 12000-2T – Effektiv redskap för ultragrund bearbetning av jorden</w:t>
      </w:r>
    </w:p>
    <w:p w14:paraId="7A198A27" w14:textId="77777777" w:rsidR="005D6D4A" w:rsidRDefault="005D6D4A" w:rsidP="005D6D4A">
      <w:pPr>
        <w:rPr>
          <w:b/>
          <w:bCs/>
        </w:rPr>
      </w:pPr>
    </w:p>
    <w:p w14:paraId="696C99B1" w14:textId="22BE5041" w:rsidR="005D6D4A" w:rsidRPr="005D6D4A" w:rsidRDefault="005D6D4A" w:rsidP="005D6D4A">
      <w:pPr>
        <w:rPr>
          <w:b/>
          <w:bCs/>
        </w:rPr>
      </w:pPr>
      <w:r w:rsidRPr="005D6D4A">
        <w:rPr>
          <w:b/>
          <w:bCs/>
        </w:rPr>
        <w:t>Utmaningen</w:t>
      </w:r>
    </w:p>
    <w:p w14:paraId="0650FCF0" w14:textId="32A0277A" w:rsidR="005D6D4A" w:rsidRPr="00185C0A" w:rsidRDefault="005D6D4A" w:rsidP="005D6D4A">
      <w:r w:rsidRPr="005D6D4A">
        <w:t>Jordbearbetning har blivit en allt viktigare del av växtodlingen, särskilt med tanke på klimatförändringar, ökad kemikalieresistens och behovet av att minska användningen av växtskyddsmedel. Extra fokus läggs nu på den första stubbearbetningen – ett kritiskt steg för att skapa e</w:t>
      </w:r>
      <w:r>
        <w:t>n</w:t>
      </w:r>
      <w:r w:rsidRPr="005D6D4A">
        <w:t xml:space="preserve"> optimalt såbädd för ogräs- och spillsädsgroning. En ultragrund bearbetning direkt efter skörd hjälper till att få ogräs att gro ytligt, vilket möjliggör mekanisk bekämpning i nästa steg. Detta är särskilt viktigt i kampen mot t.ex</w:t>
      </w:r>
      <w:r w:rsidRPr="00185C0A">
        <w:t>. spillraps, renkavle och flyghavre, där fröna annars riskerar att hamna för djupt i jorden och gå i vila.</w:t>
      </w:r>
    </w:p>
    <w:p w14:paraId="6C042A4C" w14:textId="77777777" w:rsidR="005D6D4A" w:rsidRPr="005D6D4A" w:rsidRDefault="005D6D4A" w:rsidP="005D6D4A">
      <w:r w:rsidRPr="00185C0A">
        <w:t>Samtidigt spelar nedbrytningen av organiskt material en central roll för fälthygien och näringscirkulation. En effektiv fragmentering av växtrester minskar spridning av</w:t>
      </w:r>
      <w:r w:rsidRPr="005D6D4A">
        <w:t xml:space="preserve"> svampsjukdomar och skadegörare, samt frigör näring på ett mer tillgängligt sätt. I tider av torra somrar är det dessutom avgörande att minska avdunstningen och bevara markfuktigheten – vilket ställer krav på att jordbearbetningen sker så ytligt som möjligt.</w:t>
      </w:r>
    </w:p>
    <w:p w14:paraId="6A99EFC6" w14:textId="77777777" w:rsidR="005D6D4A" w:rsidRDefault="005D6D4A" w:rsidP="005D6D4A">
      <w:pPr>
        <w:rPr>
          <w:b/>
          <w:bCs/>
        </w:rPr>
      </w:pPr>
    </w:p>
    <w:p w14:paraId="76D79EC4" w14:textId="78C32903" w:rsidR="005D6D4A" w:rsidRPr="005D6D4A" w:rsidRDefault="005D6D4A" w:rsidP="005D6D4A">
      <w:pPr>
        <w:rPr>
          <w:b/>
          <w:bCs/>
        </w:rPr>
      </w:pPr>
      <w:r w:rsidRPr="005D6D4A">
        <w:rPr>
          <w:b/>
          <w:bCs/>
        </w:rPr>
        <w:t>Lösningen: TopCut – flexibel och kraftfull bearbetning med flera</w:t>
      </w:r>
      <w:r>
        <w:rPr>
          <w:b/>
          <w:bCs/>
        </w:rPr>
        <w:t xml:space="preserve"> </w:t>
      </w:r>
      <w:r w:rsidRPr="005D6D4A">
        <w:rPr>
          <w:b/>
          <w:bCs/>
        </w:rPr>
        <w:t>verktygskombinationer</w:t>
      </w:r>
    </w:p>
    <w:p w14:paraId="48F2BA77" w14:textId="77777777" w:rsidR="005D6D4A" w:rsidRPr="005D6D4A" w:rsidRDefault="005D6D4A" w:rsidP="005D6D4A">
      <w:r w:rsidRPr="005D6D4A">
        <w:t xml:space="preserve">För att möta dessa krav har AMAZONE utvecklat </w:t>
      </w:r>
      <w:r w:rsidRPr="005D6D4A">
        <w:rPr>
          <w:b/>
          <w:bCs/>
        </w:rPr>
        <w:t>TopCut 12000-2T</w:t>
      </w:r>
      <w:r w:rsidRPr="005D6D4A">
        <w:t>, ett 12 meter brett redskap med flera verktygsalternativ som kan anpassas efter gröda, jordtyp och arbetsmoment:</w:t>
      </w:r>
    </w:p>
    <w:p w14:paraId="22E84B69" w14:textId="77777777" w:rsidR="005D6D4A" w:rsidRPr="005D6D4A" w:rsidRDefault="005D6D4A" w:rsidP="005D6D4A">
      <w:pPr>
        <w:numPr>
          <w:ilvl w:val="0"/>
          <w:numId w:val="1"/>
        </w:numPr>
      </w:pPr>
      <w:r w:rsidRPr="005D6D4A">
        <w:rPr>
          <w:b/>
          <w:bCs/>
        </w:rPr>
        <w:t>Första redskapsraden (tillval):</w:t>
      </w:r>
      <w:r w:rsidRPr="005D6D4A">
        <w:t xml:space="preserve"> Knivvält</w:t>
      </w:r>
    </w:p>
    <w:p w14:paraId="44A1CF5D" w14:textId="77777777" w:rsidR="005D6D4A" w:rsidRPr="005D6D4A" w:rsidRDefault="005D6D4A" w:rsidP="005D6D4A">
      <w:pPr>
        <w:numPr>
          <w:ilvl w:val="0"/>
          <w:numId w:val="1"/>
        </w:numPr>
      </w:pPr>
      <w:r w:rsidRPr="005D6D4A">
        <w:rPr>
          <w:b/>
          <w:bCs/>
        </w:rPr>
        <w:t>Andra och tredje raden:</w:t>
      </w:r>
      <w:r w:rsidRPr="005D6D4A">
        <w:t xml:space="preserve"> Kombination av knivvält och/eller vågformade skivor (Minimum TillDisc)</w:t>
      </w:r>
    </w:p>
    <w:p w14:paraId="0E9D02EC" w14:textId="77777777" w:rsidR="005D6D4A" w:rsidRPr="005D6D4A" w:rsidRDefault="005D6D4A" w:rsidP="005D6D4A">
      <w:pPr>
        <w:numPr>
          <w:ilvl w:val="0"/>
          <w:numId w:val="1"/>
        </w:numPr>
      </w:pPr>
      <w:r w:rsidRPr="005D6D4A">
        <w:rPr>
          <w:b/>
          <w:bCs/>
        </w:rPr>
        <w:t>Fjärde raden (bakre sektionen):</w:t>
      </w:r>
      <w:r w:rsidRPr="005D6D4A">
        <w:t xml:space="preserve"> Tre-radig halmharv eller alternativt en packarvält</w:t>
      </w:r>
    </w:p>
    <w:p w14:paraId="6995FD8C" w14:textId="77777777" w:rsidR="005D6D4A" w:rsidRDefault="005D6D4A" w:rsidP="005D6D4A">
      <w:pPr>
        <w:rPr>
          <w:b/>
          <w:bCs/>
        </w:rPr>
      </w:pPr>
    </w:p>
    <w:p w14:paraId="3885CCEF" w14:textId="72094B2D" w:rsidR="005D6D4A" w:rsidRPr="005D6D4A" w:rsidRDefault="005D6D4A" w:rsidP="005D6D4A">
      <w:pPr>
        <w:rPr>
          <w:b/>
          <w:bCs/>
        </w:rPr>
      </w:pPr>
      <w:r w:rsidRPr="005D6D4A">
        <w:rPr>
          <w:b/>
          <w:bCs/>
        </w:rPr>
        <w:t>Flexibilitet och prestanda i fokus</w:t>
      </w:r>
    </w:p>
    <w:p w14:paraId="0013C552" w14:textId="77777777" w:rsidR="005D6D4A" w:rsidRPr="005D6D4A" w:rsidRDefault="005D6D4A" w:rsidP="005D6D4A">
      <w:r w:rsidRPr="005D6D4A">
        <w:t>Knivvälten ger intensiv sönderdelning av växtrester från exempelvis raps, solrosor och fånggrödor. Trots att bearbetningen sker mycket ytligt (0–2 cm) uppstår ett fint såbäddsresultat som främjar ogräsgrobarhet och effektiv nedbrytning.</w:t>
      </w:r>
    </w:p>
    <w:p w14:paraId="11857BC3" w14:textId="77777777" w:rsidR="005D6D4A" w:rsidRPr="005D6D4A" w:rsidRDefault="005D6D4A" w:rsidP="005D6D4A">
      <w:r w:rsidRPr="005D6D4A">
        <w:t>För extra effekt kan knivvälten kombineras med Minimum TillDisc, vilket ger korsvis skärning – perfekt för bearbetning av liggsäd eller majsskörd. Alternativt kan redskapet utrustas med dubbla skivpaket (Minimum TillDisc), vilket möjliggör en ytlig, marköppnande bearbetning utan att jorden flyttas – särskilt gynnsamt vid direktsådd av vårgrödor.</w:t>
      </w:r>
    </w:p>
    <w:p w14:paraId="65FF9973" w14:textId="77777777" w:rsidR="005D6D4A" w:rsidRDefault="005D6D4A" w:rsidP="005D6D4A">
      <w:pPr>
        <w:rPr>
          <w:b/>
          <w:bCs/>
        </w:rPr>
      </w:pPr>
    </w:p>
    <w:p w14:paraId="48E99852" w14:textId="3A2CDBF8" w:rsidR="005D6D4A" w:rsidRPr="005D6D4A" w:rsidRDefault="005D6D4A" w:rsidP="005D6D4A">
      <w:pPr>
        <w:rPr>
          <w:b/>
          <w:bCs/>
        </w:rPr>
      </w:pPr>
      <w:r w:rsidRPr="005D6D4A">
        <w:rPr>
          <w:b/>
          <w:bCs/>
        </w:rPr>
        <w:t>Efterarbete: harvning eller återpackning</w:t>
      </w:r>
    </w:p>
    <w:p w14:paraId="448556ED" w14:textId="77777777" w:rsidR="005D6D4A" w:rsidRPr="005D6D4A" w:rsidRDefault="005D6D4A" w:rsidP="005D6D4A">
      <w:r w:rsidRPr="005D6D4A">
        <w:t>TopCut kan även utrustas med en kraftig tre-radig halmharv för bättre fördelning av halm och utskakning av frön. Harvens aggressivitet regleras hydrauliskt från förarhytten. För längre livslängd finns den även som HD-version med slitstarka hårdmetallspetsar.</w:t>
      </w:r>
    </w:p>
    <w:p w14:paraId="4A64A142" w14:textId="77777777" w:rsidR="005D6D4A" w:rsidRPr="005D6D4A" w:rsidRDefault="005D6D4A" w:rsidP="005D6D4A">
      <w:r w:rsidRPr="005D6D4A">
        <w:t>Som alternativ erbjuder AMAZONE olika typer av packarvältar för att minska uttorkning och optimera återpackning. DW-välten (600 mm) har god skäreffekt och krossar effektivt växtrester. Kilaringsvälten med KWM-mönster ger bra smulstruktur och skapar förutsättningar för mekanisk ogräsbekämpning via falsk såbädd.</w:t>
      </w:r>
    </w:p>
    <w:p w14:paraId="60385A03" w14:textId="77777777" w:rsidR="005D6D4A" w:rsidRDefault="005D6D4A" w:rsidP="005D6D4A">
      <w:pPr>
        <w:rPr>
          <w:b/>
          <w:bCs/>
        </w:rPr>
      </w:pPr>
    </w:p>
    <w:p w14:paraId="38229DEC" w14:textId="77777777" w:rsidR="005D6D4A" w:rsidRDefault="005D6D4A" w:rsidP="005D6D4A">
      <w:pPr>
        <w:rPr>
          <w:b/>
          <w:bCs/>
        </w:rPr>
      </w:pPr>
    </w:p>
    <w:p w14:paraId="238A8A8D" w14:textId="6CE213E8" w:rsidR="005D6D4A" w:rsidRPr="005D6D4A" w:rsidRDefault="005D6D4A" w:rsidP="005D6D4A">
      <w:pPr>
        <w:rPr>
          <w:b/>
          <w:bCs/>
        </w:rPr>
      </w:pPr>
      <w:r w:rsidRPr="005D6D4A">
        <w:rPr>
          <w:b/>
          <w:bCs/>
        </w:rPr>
        <w:t>Slutsats</w:t>
      </w:r>
    </w:p>
    <w:p w14:paraId="14F205B0" w14:textId="77777777" w:rsidR="005D6D4A" w:rsidRPr="005D6D4A" w:rsidRDefault="005D6D4A" w:rsidP="005D6D4A">
      <w:r w:rsidRPr="005D6D4A">
        <w:t>Med sin bredd på 12,1 meter, höga arbetskapacitet (upp till 20 km/h) och bränsleeffektivitet (ca 2,5 l/ha) är TopCut 12000-2T ett ekonomiskt smart val för gårdar med höga krav. Maskinens flexibilitet gör den idealisk för allt från konventionell bearbetning till direktsådd. De vändbara knivbladen fördubblar dessutom livslängden och minskar slitagekostnaderna.</w:t>
      </w:r>
    </w:p>
    <w:p w14:paraId="67689EC3" w14:textId="77777777" w:rsidR="005D6D4A" w:rsidRDefault="005D6D4A" w:rsidP="005D6D4A"/>
    <w:p w14:paraId="2081208D" w14:textId="23113D47" w:rsidR="005D6D4A" w:rsidRPr="005D6D4A" w:rsidRDefault="005D6D4A" w:rsidP="005D6D4A">
      <w:pPr>
        <w:rPr>
          <w:b/>
          <w:bCs/>
        </w:rPr>
      </w:pPr>
      <w:r w:rsidRPr="005D6D4A">
        <w:rPr>
          <w:b/>
          <w:bCs/>
        </w:rPr>
        <w:t>Fördelar i korthet:</w:t>
      </w:r>
    </w:p>
    <w:p w14:paraId="14CA8DA7" w14:textId="77777777" w:rsidR="005D6D4A" w:rsidRPr="005D6D4A" w:rsidRDefault="005D6D4A" w:rsidP="005D6D4A">
      <w:pPr>
        <w:numPr>
          <w:ilvl w:val="0"/>
          <w:numId w:val="2"/>
        </w:numPr>
      </w:pPr>
      <w:r w:rsidRPr="005D6D4A">
        <w:t>Effektiv sönderdelning i raps, solros, majsstubb och fånggrödor</w:t>
      </w:r>
    </w:p>
    <w:p w14:paraId="39A8FDA2" w14:textId="77777777" w:rsidR="005D6D4A" w:rsidRPr="005D6D4A" w:rsidRDefault="005D6D4A" w:rsidP="005D6D4A">
      <w:pPr>
        <w:numPr>
          <w:ilvl w:val="0"/>
          <w:numId w:val="2"/>
        </w:numPr>
      </w:pPr>
      <w:r w:rsidRPr="005D6D4A">
        <w:t>Accelererad nedbrytning av växtrester</w:t>
      </w:r>
    </w:p>
    <w:p w14:paraId="23171202" w14:textId="77777777" w:rsidR="005D6D4A" w:rsidRPr="005D6D4A" w:rsidRDefault="005D6D4A" w:rsidP="005D6D4A">
      <w:pPr>
        <w:numPr>
          <w:ilvl w:val="0"/>
          <w:numId w:val="2"/>
        </w:numPr>
      </w:pPr>
      <w:r w:rsidRPr="005D6D4A">
        <w:t>Ultragrum bearbetning med optimal finjord – perfekt för ogräsgrobarhet</w:t>
      </w:r>
    </w:p>
    <w:p w14:paraId="471AAE9E" w14:textId="77777777" w:rsidR="005D6D4A" w:rsidRPr="005D6D4A" w:rsidRDefault="005D6D4A" w:rsidP="005D6D4A">
      <w:pPr>
        <w:numPr>
          <w:ilvl w:val="0"/>
          <w:numId w:val="2"/>
        </w:numPr>
      </w:pPr>
      <w:r w:rsidRPr="005D6D4A">
        <w:t>Förbättrad halmföredelning med harv</w:t>
      </w:r>
    </w:p>
    <w:p w14:paraId="65A9BFB5" w14:textId="77777777" w:rsidR="005D6D4A" w:rsidRPr="005D6D4A" w:rsidRDefault="005D6D4A" w:rsidP="005D6D4A">
      <w:pPr>
        <w:numPr>
          <w:ilvl w:val="0"/>
          <w:numId w:val="2"/>
        </w:numPr>
      </w:pPr>
      <w:r w:rsidRPr="005D6D4A">
        <w:t>Återpackning för säker groning med vält</w:t>
      </w:r>
    </w:p>
    <w:p w14:paraId="3C2C7A91" w14:textId="77777777" w:rsidR="005D6D4A" w:rsidRPr="005D6D4A" w:rsidRDefault="005D6D4A" w:rsidP="005D6D4A">
      <w:pPr>
        <w:numPr>
          <w:ilvl w:val="0"/>
          <w:numId w:val="2"/>
        </w:numPr>
      </w:pPr>
      <w:r w:rsidRPr="005D6D4A">
        <w:t>Minskad avdunstning jämfört med andra system</w:t>
      </w:r>
    </w:p>
    <w:p w14:paraId="1166D12A" w14:textId="77777777" w:rsidR="005D6D4A" w:rsidRPr="005D6D4A" w:rsidRDefault="005D6D4A" w:rsidP="005D6D4A">
      <w:pPr>
        <w:numPr>
          <w:ilvl w:val="0"/>
          <w:numId w:val="2"/>
        </w:numPr>
      </w:pPr>
      <w:r w:rsidRPr="005D6D4A">
        <w:t>Hög arbetskapacitet och låg bränsleförbrukning</w:t>
      </w:r>
    </w:p>
    <w:p w14:paraId="3072EC7C" w14:textId="77777777" w:rsidR="005D6D4A" w:rsidRPr="005D6D4A" w:rsidRDefault="005D6D4A" w:rsidP="005D6D4A">
      <w:pPr>
        <w:numPr>
          <w:ilvl w:val="0"/>
          <w:numId w:val="2"/>
        </w:numPr>
      </w:pPr>
      <w:r w:rsidRPr="005D6D4A">
        <w:t>Låga underhållskostnader tack vare vändbara blad</w:t>
      </w:r>
    </w:p>
    <w:p w14:paraId="7EA87EF0" w14:textId="77777777" w:rsidR="00B41367" w:rsidRDefault="00B41367"/>
    <w:p w14:paraId="298A6835" w14:textId="77777777" w:rsidR="00E561CB" w:rsidRDefault="00E561CB">
      <w:pPr>
        <w:pBdr>
          <w:bottom w:val="single" w:sz="6" w:space="1" w:color="auto"/>
        </w:pBdr>
      </w:pPr>
    </w:p>
    <w:p w14:paraId="613CC431" w14:textId="77777777" w:rsidR="00E561CB" w:rsidRPr="000F7166" w:rsidRDefault="00E561CB"/>
    <w:p w14:paraId="36F72688" w14:textId="71EED2DB" w:rsidR="000F7166" w:rsidRPr="000F7166" w:rsidRDefault="000F7166" w:rsidP="000F7166">
      <w:r w:rsidRPr="000F7166">
        <w:t xml:space="preserve">För </w:t>
      </w:r>
      <w:r w:rsidRPr="000F7166">
        <w:t xml:space="preserve">vidare </w:t>
      </w:r>
      <w:r w:rsidRPr="000F7166">
        <w:t>frågor kontakta</w:t>
      </w:r>
      <w:r>
        <w:t>:</w:t>
      </w:r>
    </w:p>
    <w:p w14:paraId="428E03B3" w14:textId="77777777" w:rsidR="000F7166" w:rsidRPr="000F7166" w:rsidRDefault="000F7166" w:rsidP="000F7166">
      <w:r w:rsidRPr="000F7166">
        <w:rPr>
          <w:b/>
          <w:bCs/>
        </w:rPr>
        <w:t>Söderberg &amp; Haak</w:t>
      </w:r>
      <w:r w:rsidRPr="000F7166">
        <w:br/>
        <w:t>Produktchef Niclas Westmar</w:t>
      </w:r>
      <w:r w:rsidRPr="000F7166">
        <w:br/>
      </w:r>
      <w:hyperlink r:id="rId10" w:history="1">
        <w:r w:rsidRPr="000F7166">
          <w:rPr>
            <w:rStyle w:val="Hyperlnk"/>
          </w:rPr>
          <w:t>niclas.westmar@sodhaak.se</w:t>
        </w:r>
      </w:hyperlink>
      <w:r w:rsidRPr="000F7166">
        <w:br/>
        <w:t>+46 701 44 92 38</w:t>
      </w:r>
    </w:p>
    <w:p w14:paraId="69BE7D13" w14:textId="77777777" w:rsidR="00E561CB" w:rsidRDefault="00E561CB"/>
    <w:sectPr w:rsidR="00E561C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6E470" w14:textId="77777777" w:rsidR="00B475F8" w:rsidRDefault="00B475F8" w:rsidP="00B475F8">
      <w:r>
        <w:separator/>
      </w:r>
    </w:p>
  </w:endnote>
  <w:endnote w:type="continuationSeparator" w:id="0">
    <w:p w14:paraId="2371D1D7" w14:textId="77777777" w:rsidR="00B475F8" w:rsidRDefault="00B475F8" w:rsidP="00B475F8">
      <w:r>
        <w:continuationSeparator/>
      </w:r>
    </w:p>
  </w:endnote>
  <w:endnote w:type="continuationNotice" w:id="1">
    <w:p w14:paraId="79D5DD12" w14:textId="77777777" w:rsidR="00B475F8" w:rsidRDefault="00B475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2789F" w14:textId="77777777" w:rsidR="00B475F8" w:rsidRDefault="00B475F8" w:rsidP="00B475F8">
      <w:r>
        <w:separator/>
      </w:r>
    </w:p>
  </w:footnote>
  <w:footnote w:type="continuationSeparator" w:id="0">
    <w:p w14:paraId="3C867B85" w14:textId="77777777" w:rsidR="00B475F8" w:rsidRDefault="00B475F8" w:rsidP="00B475F8">
      <w:r>
        <w:continuationSeparator/>
      </w:r>
    </w:p>
  </w:footnote>
  <w:footnote w:type="continuationNotice" w:id="1">
    <w:p w14:paraId="753C2188" w14:textId="77777777" w:rsidR="00B475F8" w:rsidRDefault="00B475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ADAB0" w14:textId="2E4287FF" w:rsidR="00B475F8" w:rsidRDefault="00E561CB" w:rsidP="00E561CB">
    <w:pPr>
      <w:pStyle w:val="Sidhuvud"/>
      <w:tabs>
        <w:tab w:val="clear" w:pos="4536"/>
        <w:tab w:val="clear" w:pos="9072"/>
        <w:tab w:val="left" w:pos="2880"/>
      </w:tabs>
    </w:pPr>
    <w:r>
      <w:rPr>
        <w:noProof/>
      </w:rPr>
      <w:drawing>
        <wp:inline distT="0" distB="0" distL="0" distR="0" wp14:anchorId="2C0044D3" wp14:editId="2B4918A0">
          <wp:extent cx="1306174" cy="666750"/>
          <wp:effectExtent l="0" t="0" r="8890" b="0"/>
          <wp:docPr id="167878178" name="Bildobjekt 1" descr="En bild som visar växel, bestick, Teckensnitt, hjul&#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78178" name="Bildobjekt 1" descr="En bild som visar växel, bestick, Teckensnitt, hjul&#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678" cy="668028"/>
                  </a:xfrm>
                  <a:prstGeom prst="rect">
                    <a:avLst/>
                  </a:prstGeom>
                  <a:noFill/>
                  <a:ln>
                    <a:noFill/>
                  </a:ln>
                </pic:spPr>
              </pic:pic>
            </a:graphicData>
          </a:graphic>
        </wp:inline>
      </w:drawing>
    </w:r>
    <w:r>
      <w:tab/>
    </w:r>
  </w:p>
  <w:p w14:paraId="351EE09A" w14:textId="77777777" w:rsidR="00E561CB" w:rsidRPr="00E561CB" w:rsidRDefault="00E561CB" w:rsidP="00E561CB">
    <w:pPr>
      <w:pStyle w:val="Sidhuvud"/>
      <w:tabs>
        <w:tab w:val="clear" w:pos="4536"/>
        <w:tab w:val="clear" w:pos="9072"/>
        <w:tab w:val="left" w:pos="28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B122AB"/>
    <w:multiLevelType w:val="multilevel"/>
    <w:tmpl w:val="77661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35A4050"/>
    <w:multiLevelType w:val="multilevel"/>
    <w:tmpl w:val="E3C0E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2125208">
    <w:abstractNumId w:val="1"/>
  </w:num>
  <w:num w:numId="2" w16cid:durableId="872423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D4A"/>
    <w:rsid w:val="000F7166"/>
    <w:rsid w:val="00185C0A"/>
    <w:rsid w:val="005D6D4A"/>
    <w:rsid w:val="00AA7B2C"/>
    <w:rsid w:val="00B218B9"/>
    <w:rsid w:val="00B41367"/>
    <w:rsid w:val="00B475F8"/>
    <w:rsid w:val="00C37EB7"/>
    <w:rsid w:val="00E561CB"/>
    <w:rsid w:val="00F92837"/>
    <w:rsid w:val="00FC421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5F351"/>
  <w15:chartTrackingRefBased/>
  <w15:docId w15:val="{2C2AC9E2-49B5-49E8-8FC7-D10B5E809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5D6D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5D6D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5D6D4A"/>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5D6D4A"/>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5D6D4A"/>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5D6D4A"/>
    <w:pPr>
      <w:keepNext/>
      <w:keepLines/>
      <w:spacing w:before="4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5D6D4A"/>
    <w:pPr>
      <w:keepNext/>
      <w:keepLines/>
      <w:spacing w:before="4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5D6D4A"/>
    <w:pPr>
      <w:keepNext/>
      <w:keepLines/>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5D6D4A"/>
    <w:pPr>
      <w:keepNext/>
      <w:keepLines/>
      <w:outlineLvl w:val="8"/>
    </w:pPr>
    <w:rPr>
      <w:rFonts w:eastAsiaTheme="majorEastAsia" w:cstheme="majorBidi"/>
      <w:color w:val="272727" w:themeColor="text1" w:themeTint="D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5D6D4A"/>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5D6D4A"/>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5D6D4A"/>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5D6D4A"/>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5D6D4A"/>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5D6D4A"/>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5D6D4A"/>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5D6D4A"/>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5D6D4A"/>
    <w:rPr>
      <w:rFonts w:eastAsiaTheme="majorEastAsia" w:cstheme="majorBidi"/>
      <w:color w:val="272727" w:themeColor="text1" w:themeTint="D8"/>
    </w:rPr>
  </w:style>
  <w:style w:type="paragraph" w:styleId="Rubrik">
    <w:name w:val="Title"/>
    <w:basedOn w:val="Normal"/>
    <w:next w:val="Normal"/>
    <w:link w:val="RubrikChar"/>
    <w:uiPriority w:val="10"/>
    <w:qFormat/>
    <w:rsid w:val="005D6D4A"/>
    <w:pPr>
      <w:spacing w:after="80"/>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5D6D4A"/>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5D6D4A"/>
    <w:pPr>
      <w:numPr>
        <w:ilvl w:val="1"/>
      </w:numPr>
      <w:spacing w:after="160"/>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5D6D4A"/>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5D6D4A"/>
    <w:pPr>
      <w:spacing w:before="160" w:after="160"/>
      <w:jc w:val="center"/>
    </w:pPr>
    <w:rPr>
      <w:i/>
      <w:iCs/>
      <w:color w:val="404040" w:themeColor="text1" w:themeTint="BF"/>
    </w:rPr>
  </w:style>
  <w:style w:type="character" w:customStyle="1" w:styleId="CitatChar">
    <w:name w:val="Citat Char"/>
    <w:basedOn w:val="Standardstycketeckensnitt"/>
    <w:link w:val="Citat"/>
    <w:uiPriority w:val="29"/>
    <w:rsid w:val="005D6D4A"/>
    <w:rPr>
      <w:i/>
      <w:iCs/>
      <w:color w:val="404040" w:themeColor="text1" w:themeTint="BF"/>
    </w:rPr>
  </w:style>
  <w:style w:type="paragraph" w:styleId="Liststycke">
    <w:name w:val="List Paragraph"/>
    <w:basedOn w:val="Normal"/>
    <w:uiPriority w:val="34"/>
    <w:qFormat/>
    <w:rsid w:val="005D6D4A"/>
    <w:pPr>
      <w:ind w:left="720"/>
      <w:contextualSpacing/>
    </w:pPr>
  </w:style>
  <w:style w:type="character" w:styleId="Starkbetoning">
    <w:name w:val="Intense Emphasis"/>
    <w:basedOn w:val="Standardstycketeckensnitt"/>
    <w:uiPriority w:val="21"/>
    <w:qFormat/>
    <w:rsid w:val="005D6D4A"/>
    <w:rPr>
      <w:i/>
      <w:iCs/>
      <w:color w:val="0F4761" w:themeColor="accent1" w:themeShade="BF"/>
    </w:rPr>
  </w:style>
  <w:style w:type="paragraph" w:styleId="Starktcitat">
    <w:name w:val="Intense Quote"/>
    <w:basedOn w:val="Normal"/>
    <w:next w:val="Normal"/>
    <w:link w:val="StarktcitatChar"/>
    <w:uiPriority w:val="30"/>
    <w:qFormat/>
    <w:rsid w:val="005D6D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5D6D4A"/>
    <w:rPr>
      <w:i/>
      <w:iCs/>
      <w:color w:val="0F4761" w:themeColor="accent1" w:themeShade="BF"/>
    </w:rPr>
  </w:style>
  <w:style w:type="character" w:styleId="Starkreferens">
    <w:name w:val="Intense Reference"/>
    <w:basedOn w:val="Standardstycketeckensnitt"/>
    <w:uiPriority w:val="32"/>
    <w:qFormat/>
    <w:rsid w:val="005D6D4A"/>
    <w:rPr>
      <w:b/>
      <w:bCs/>
      <w:smallCaps/>
      <w:color w:val="0F4761" w:themeColor="accent1" w:themeShade="BF"/>
      <w:spacing w:val="5"/>
    </w:rPr>
  </w:style>
  <w:style w:type="paragraph" w:styleId="Sidhuvud">
    <w:name w:val="header"/>
    <w:basedOn w:val="Normal"/>
    <w:link w:val="SidhuvudChar"/>
    <w:uiPriority w:val="99"/>
    <w:unhideWhenUsed/>
    <w:rsid w:val="00B475F8"/>
    <w:pPr>
      <w:tabs>
        <w:tab w:val="center" w:pos="4536"/>
        <w:tab w:val="right" w:pos="9072"/>
      </w:tabs>
    </w:pPr>
  </w:style>
  <w:style w:type="character" w:customStyle="1" w:styleId="SidhuvudChar">
    <w:name w:val="Sidhuvud Char"/>
    <w:basedOn w:val="Standardstycketeckensnitt"/>
    <w:link w:val="Sidhuvud"/>
    <w:uiPriority w:val="99"/>
    <w:rsid w:val="00B475F8"/>
  </w:style>
  <w:style w:type="paragraph" w:styleId="Sidfot">
    <w:name w:val="footer"/>
    <w:basedOn w:val="Normal"/>
    <w:link w:val="SidfotChar"/>
    <w:uiPriority w:val="99"/>
    <w:unhideWhenUsed/>
    <w:rsid w:val="00B475F8"/>
    <w:pPr>
      <w:tabs>
        <w:tab w:val="center" w:pos="4536"/>
        <w:tab w:val="right" w:pos="9072"/>
      </w:tabs>
    </w:pPr>
  </w:style>
  <w:style w:type="character" w:customStyle="1" w:styleId="SidfotChar">
    <w:name w:val="Sidfot Char"/>
    <w:basedOn w:val="Standardstycketeckensnitt"/>
    <w:link w:val="Sidfot"/>
    <w:uiPriority w:val="99"/>
    <w:rsid w:val="00B475F8"/>
  </w:style>
  <w:style w:type="character" w:styleId="Hyperlnk">
    <w:name w:val="Hyperlink"/>
    <w:basedOn w:val="Standardstycketeckensnitt"/>
    <w:uiPriority w:val="99"/>
    <w:unhideWhenUsed/>
    <w:rsid w:val="000F7166"/>
    <w:rPr>
      <w:color w:val="467886" w:themeColor="hyperlink"/>
      <w:u w:val="single"/>
    </w:rPr>
  </w:style>
  <w:style w:type="character" w:styleId="Olstomnmnande">
    <w:name w:val="Unresolved Mention"/>
    <w:basedOn w:val="Standardstycketeckensnitt"/>
    <w:uiPriority w:val="99"/>
    <w:semiHidden/>
    <w:unhideWhenUsed/>
    <w:rsid w:val="000F71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574067">
      <w:bodyDiv w:val="1"/>
      <w:marLeft w:val="0"/>
      <w:marRight w:val="0"/>
      <w:marTop w:val="0"/>
      <w:marBottom w:val="0"/>
      <w:divBdr>
        <w:top w:val="none" w:sz="0" w:space="0" w:color="auto"/>
        <w:left w:val="none" w:sz="0" w:space="0" w:color="auto"/>
        <w:bottom w:val="none" w:sz="0" w:space="0" w:color="auto"/>
        <w:right w:val="none" w:sz="0" w:space="0" w:color="auto"/>
      </w:divBdr>
    </w:div>
    <w:div w:id="1135369224">
      <w:bodyDiv w:val="1"/>
      <w:marLeft w:val="0"/>
      <w:marRight w:val="0"/>
      <w:marTop w:val="0"/>
      <w:marBottom w:val="0"/>
      <w:divBdr>
        <w:top w:val="none" w:sz="0" w:space="0" w:color="auto"/>
        <w:left w:val="none" w:sz="0" w:space="0" w:color="auto"/>
        <w:bottom w:val="none" w:sz="0" w:space="0" w:color="auto"/>
        <w:right w:val="none" w:sz="0" w:space="0" w:color="auto"/>
      </w:divBdr>
    </w:div>
    <w:div w:id="1355578086">
      <w:bodyDiv w:val="1"/>
      <w:marLeft w:val="0"/>
      <w:marRight w:val="0"/>
      <w:marTop w:val="0"/>
      <w:marBottom w:val="0"/>
      <w:divBdr>
        <w:top w:val="none" w:sz="0" w:space="0" w:color="auto"/>
        <w:left w:val="none" w:sz="0" w:space="0" w:color="auto"/>
        <w:bottom w:val="none" w:sz="0" w:space="0" w:color="auto"/>
        <w:right w:val="none" w:sz="0" w:space="0" w:color="auto"/>
      </w:divBdr>
    </w:div>
    <w:div w:id="161594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niclas.westmar@sodhaak.se"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9" ma:contentTypeDescription="Skapa ett nytt dokument." ma:contentTypeScope="" ma:versionID="720138c30649d2bcc9d12b487d45a3c3">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75fab3e880609c8f55bae55828e012db"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Props1.xml><?xml version="1.0" encoding="utf-8"?>
<ds:datastoreItem xmlns:ds="http://schemas.openxmlformats.org/officeDocument/2006/customXml" ds:itemID="{B7AAD6B1-FDEF-41EB-B13A-3C19F01C70B1}">
  <ds:schemaRefs>
    <ds:schemaRef ds:uri="http://schemas.microsoft.com/sharepoint/v3/contenttype/forms"/>
  </ds:schemaRefs>
</ds:datastoreItem>
</file>

<file path=customXml/itemProps2.xml><?xml version="1.0" encoding="utf-8"?>
<ds:datastoreItem xmlns:ds="http://schemas.openxmlformats.org/officeDocument/2006/customXml" ds:itemID="{D8B13912-7FEE-4465-8905-9AE104F7D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22AAD2-4CC4-4B78-A988-C224B06035C5}">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603</Words>
  <Characters>3200</Characters>
  <Application>Microsoft Office Word</Application>
  <DocSecurity>0</DocSecurity>
  <Lines>26</Lines>
  <Paragraphs>7</Paragraphs>
  <ScaleCrop>false</ScaleCrop>
  <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5</cp:revision>
  <dcterms:created xsi:type="dcterms:W3CDTF">2025-04-09T08:52:00Z</dcterms:created>
  <dcterms:modified xsi:type="dcterms:W3CDTF">2025-04-16T11:06:00Z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y fmtid="{D5CDD505-2E9C-101B-9397-08002B2CF9AE}" pid="3" name="MediaServiceImageTags">
    <vt:lpwstr/>
  </property>
</Properties>
</file>